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291"/>
        <w:gridCol w:w="2591"/>
        <w:gridCol w:w="2353"/>
        <w:gridCol w:w="2341"/>
      </w:tblGrid>
      <w:tr w:rsidR="00232F47" w:rsidTr="00232F47">
        <w:tc>
          <w:tcPr>
            <w:tcW w:w="2394" w:type="dxa"/>
          </w:tcPr>
          <w:p w:rsidR="00232F47" w:rsidRPr="001329C6" w:rsidRDefault="00232F47">
            <w:pPr>
              <w:rPr>
                <w:sz w:val="24"/>
                <w:szCs w:val="24"/>
              </w:rPr>
            </w:pPr>
            <w:r w:rsidRPr="001329C6">
              <w:rPr>
                <w:sz w:val="24"/>
                <w:szCs w:val="24"/>
              </w:rPr>
              <w:t>Date</w:t>
            </w:r>
          </w:p>
        </w:tc>
        <w:tc>
          <w:tcPr>
            <w:tcW w:w="2394" w:type="dxa"/>
          </w:tcPr>
          <w:p w:rsidR="00232F47" w:rsidRPr="001329C6" w:rsidRDefault="00232F47">
            <w:pPr>
              <w:rPr>
                <w:sz w:val="24"/>
                <w:szCs w:val="24"/>
              </w:rPr>
            </w:pPr>
            <w:r w:rsidRPr="001329C6">
              <w:rPr>
                <w:sz w:val="24"/>
                <w:szCs w:val="24"/>
              </w:rPr>
              <w:t>Lot #</w:t>
            </w:r>
          </w:p>
        </w:tc>
        <w:tc>
          <w:tcPr>
            <w:tcW w:w="2394" w:type="dxa"/>
          </w:tcPr>
          <w:p w:rsidR="00232F47" w:rsidRPr="001329C6" w:rsidRDefault="00232F47">
            <w:pPr>
              <w:rPr>
                <w:sz w:val="24"/>
                <w:szCs w:val="24"/>
              </w:rPr>
            </w:pPr>
            <w:r w:rsidRPr="001329C6">
              <w:rPr>
                <w:sz w:val="24"/>
                <w:szCs w:val="24"/>
              </w:rPr>
              <w:t>Quote</w:t>
            </w:r>
          </w:p>
        </w:tc>
        <w:tc>
          <w:tcPr>
            <w:tcW w:w="2394" w:type="dxa"/>
          </w:tcPr>
          <w:p w:rsidR="00232F47" w:rsidRPr="001329C6" w:rsidRDefault="00232F47">
            <w:pPr>
              <w:rPr>
                <w:sz w:val="24"/>
                <w:szCs w:val="24"/>
              </w:rPr>
            </w:pPr>
            <w:r w:rsidRPr="001329C6">
              <w:rPr>
                <w:sz w:val="24"/>
                <w:szCs w:val="24"/>
              </w:rPr>
              <w:t>Commentary</w:t>
            </w:r>
          </w:p>
        </w:tc>
      </w:tr>
      <w:tr w:rsidR="00232F47" w:rsidTr="00232F47">
        <w:tc>
          <w:tcPr>
            <w:tcW w:w="2394" w:type="dxa"/>
          </w:tcPr>
          <w:p w:rsidR="00232F47" w:rsidRPr="001329C6" w:rsidRDefault="00232F47">
            <w:pPr>
              <w:rPr>
                <w:sz w:val="24"/>
                <w:szCs w:val="24"/>
              </w:rPr>
            </w:pPr>
            <w:r w:rsidRPr="001329C6">
              <w:rPr>
                <w:sz w:val="24"/>
                <w:szCs w:val="24"/>
              </w:rPr>
              <w:t>4-12-12</w:t>
            </w:r>
          </w:p>
        </w:tc>
        <w:tc>
          <w:tcPr>
            <w:tcW w:w="2394" w:type="dxa"/>
          </w:tcPr>
          <w:p w:rsidR="00232F47" w:rsidRPr="001329C6" w:rsidRDefault="00232F47">
            <w:pPr>
              <w:rPr>
                <w:sz w:val="24"/>
                <w:szCs w:val="24"/>
              </w:rPr>
            </w:pPr>
            <w:r w:rsidRPr="001329C6">
              <w:rPr>
                <w:rStyle w:val="c1"/>
                <w:rFonts w:ascii="Arial" w:hAnsi="Arial" w:cs="Arial"/>
                <w:color w:val="000000"/>
                <w:sz w:val="24"/>
                <w:szCs w:val="24"/>
              </w:rPr>
              <w:t>#4 Compares the text to other texts of the same genre, by the same author, or dealing with similar themes.</w:t>
            </w:r>
          </w:p>
        </w:tc>
        <w:tc>
          <w:tcPr>
            <w:tcW w:w="2394" w:type="dxa"/>
          </w:tcPr>
          <w:p w:rsidR="00232F47" w:rsidRPr="001329C6" w:rsidRDefault="00232F47">
            <w:pPr>
              <w:rPr>
                <w:sz w:val="24"/>
                <w:szCs w:val="24"/>
              </w:rPr>
            </w:pPr>
            <w:r w:rsidRPr="001329C6">
              <w:rPr>
                <w:sz w:val="24"/>
                <w:szCs w:val="24"/>
              </w:rPr>
              <w:t xml:space="preserve">Page 64 “It was Arthur who first broke the silence: “One less!” he exclaimed. </w:t>
            </w:r>
          </w:p>
          <w:p w:rsidR="00232F47" w:rsidRPr="001329C6" w:rsidRDefault="00232F47">
            <w:pPr>
              <w:rPr>
                <w:sz w:val="24"/>
                <w:szCs w:val="24"/>
              </w:rPr>
            </w:pPr>
            <w:r w:rsidRPr="001329C6">
              <w:rPr>
                <w:sz w:val="24"/>
                <w:szCs w:val="24"/>
              </w:rPr>
              <w:t>“So you saw a murderer dying…I would like to do that ten times a day.”</w:t>
            </w:r>
          </w:p>
        </w:tc>
        <w:tc>
          <w:tcPr>
            <w:tcW w:w="2394" w:type="dxa"/>
          </w:tcPr>
          <w:p w:rsidR="00232F47" w:rsidRPr="001329C6" w:rsidRDefault="00232F47">
            <w:pPr>
              <w:rPr>
                <w:sz w:val="24"/>
                <w:szCs w:val="24"/>
              </w:rPr>
            </w:pPr>
            <w:r w:rsidRPr="001329C6">
              <w:rPr>
                <w:sz w:val="24"/>
                <w:szCs w:val="24"/>
              </w:rPr>
              <w:t xml:space="preserve">This reminds me of </w:t>
            </w:r>
            <w:r w:rsidRPr="001329C6">
              <w:rPr>
                <w:i/>
                <w:sz w:val="24"/>
                <w:szCs w:val="24"/>
              </w:rPr>
              <w:t>The Hunger Games</w:t>
            </w:r>
            <w:r w:rsidRPr="001329C6">
              <w:rPr>
                <w:sz w:val="24"/>
                <w:szCs w:val="24"/>
              </w:rPr>
              <w:t xml:space="preserve"> when </w:t>
            </w:r>
            <w:proofErr w:type="spellStart"/>
            <w:r w:rsidRPr="001329C6">
              <w:rPr>
                <w:sz w:val="24"/>
                <w:szCs w:val="24"/>
              </w:rPr>
              <w:t>Katniss</w:t>
            </w:r>
            <w:proofErr w:type="spellEnd"/>
            <w:r w:rsidRPr="001329C6">
              <w:rPr>
                <w:sz w:val="24"/>
                <w:szCs w:val="24"/>
              </w:rPr>
              <w:t xml:space="preserve"> watches the sky each night for the death count. Every night it’s almost a bitter sweet feeling for her; one less person to compete with, but at the same time a life was lost. </w:t>
            </w:r>
            <w:proofErr w:type="spellStart"/>
            <w:r w:rsidRPr="001329C6">
              <w:rPr>
                <w:sz w:val="24"/>
                <w:szCs w:val="24"/>
              </w:rPr>
              <w:t>Katniss</w:t>
            </w:r>
            <w:proofErr w:type="spellEnd"/>
            <w:r w:rsidRPr="001329C6">
              <w:rPr>
                <w:sz w:val="24"/>
                <w:szCs w:val="24"/>
              </w:rPr>
              <w:t xml:space="preserve"> actually feels some remorse for the fallen, but Arthur shouts about it like it is a celebration of sorts. </w:t>
            </w:r>
          </w:p>
        </w:tc>
      </w:tr>
      <w:tr w:rsidR="00232F47" w:rsidTr="00232F47">
        <w:tc>
          <w:tcPr>
            <w:tcW w:w="2394" w:type="dxa"/>
          </w:tcPr>
          <w:p w:rsidR="00232F47" w:rsidRPr="001329C6" w:rsidRDefault="001329C6">
            <w:pPr>
              <w:rPr>
                <w:sz w:val="24"/>
                <w:szCs w:val="24"/>
              </w:rPr>
            </w:pPr>
            <w:r w:rsidRPr="001329C6">
              <w:rPr>
                <w:sz w:val="24"/>
                <w:szCs w:val="24"/>
              </w:rPr>
              <w:t>4-12-12</w:t>
            </w:r>
          </w:p>
        </w:tc>
        <w:tc>
          <w:tcPr>
            <w:tcW w:w="2394" w:type="dxa"/>
          </w:tcPr>
          <w:p w:rsidR="00232F47" w:rsidRPr="001329C6" w:rsidRDefault="001329C6">
            <w:pPr>
              <w:rPr>
                <w:sz w:val="24"/>
                <w:szCs w:val="24"/>
              </w:rPr>
            </w:pPr>
            <w:r w:rsidRPr="001329C6">
              <w:rPr>
                <w:rStyle w:val="c1"/>
                <w:rFonts w:ascii="Arial" w:hAnsi="Arial" w:cs="Arial"/>
                <w:color w:val="000000"/>
                <w:sz w:val="24"/>
                <w:szCs w:val="24"/>
              </w:rPr>
              <w:t>#6 Shares relevant research/readings to address questions/connections to historical context, the author, allusions.</w:t>
            </w:r>
          </w:p>
        </w:tc>
        <w:tc>
          <w:tcPr>
            <w:tcW w:w="2394" w:type="dxa"/>
          </w:tcPr>
          <w:p w:rsidR="00232F47" w:rsidRPr="001329C6" w:rsidRDefault="001329C6">
            <w:pPr>
              <w:rPr>
                <w:sz w:val="24"/>
                <w:szCs w:val="24"/>
              </w:rPr>
            </w:pPr>
            <w:r w:rsidRPr="001329C6">
              <w:rPr>
                <w:sz w:val="24"/>
                <w:szCs w:val="24"/>
              </w:rPr>
              <w:t xml:space="preserve">Page 71 “The commandment arrived…He brought with him a large black Doberman on a lead…The dog became restless and strained on its lead. Any moment the commandment would let it loose.” </w:t>
            </w:r>
          </w:p>
        </w:tc>
        <w:tc>
          <w:tcPr>
            <w:tcW w:w="2394" w:type="dxa"/>
          </w:tcPr>
          <w:p w:rsidR="00232F47" w:rsidRPr="001329C6" w:rsidRDefault="001329C6">
            <w:pPr>
              <w:rPr>
                <w:sz w:val="24"/>
                <w:szCs w:val="24"/>
              </w:rPr>
            </w:pPr>
            <w:r w:rsidRPr="001329C6">
              <w:rPr>
                <w:sz w:val="24"/>
                <w:szCs w:val="24"/>
              </w:rPr>
              <w:t xml:space="preserve">During WWII the Nazis tried to train dogs to speak, read, write, and even salute. Hitler believed that dogs were very intelligent and capable of more than people gave them credit for. He also thought they were more valuable and intelligent </w:t>
            </w:r>
            <w:proofErr w:type="spellStart"/>
            <w:r w:rsidRPr="001329C6">
              <w:rPr>
                <w:sz w:val="24"/>
                <w:szCs w:val="24"/>
              </w:rPr>
              <w:t>than</w:t>
            </w:r>
            <w:proofErr w:type="spellEnd"/>
            <w:r w:rsidRPr="001329C6">
              <w:rPr>
                <w:sz w:val="24"/>
                <w:szCs w:val="24"/>
              </w:rPr>
              <w:t xml:space="preserve"> the Jews, and spent a considerable amount of money on training facilities for them. Because of the attack training the dogs had, and the intelligence training, most officers were accompanied by dogs during the Holocaust. </w:t>
            </w:r>
          </w:p>
        </w:tc>
      </w:tr>
    </w:tbl>
    <w:p w:rsidR="00766BD0" w:rsidRDefault="00766BD0"/>
    <w:sectPr w:rsidR="00766BD0" w:rsidSect="00766B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2F47"/>
    <w:rsid w:val="001329C6"/>
    <w:rsid w:val="00232F47"/>
    <w:rsid w:val="0042703E"/>
    <w:rsid w:val="00766B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B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F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DefaultParagraphFont"/>
    <w:rsid w:val="00232F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soneal</dc:creator>
  <cp:lastModifiedBy>soneal</cp:lastModifiedBy>
  <cp:revision>1</cp:revision>
  <dcterms:created xsi:type="dcterms:W3CDTF">2012-04-12T13:43:00Z</dcterms:created>
  <dcterms:modified xsi:type="dcterms:W3CDTF">2012-04-12T14:10:00Z</dcterms:modified>
</cp:coreProperties>
</file>